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73132B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1D7112" w:rsidP="0085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56B92" w:rsidRPr="004C7238" w:rsidTr="0073132B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bookmarkStart w:id="0" w:name="_GoBack"/>
        <w:bookmarkEnd w:id="0"/>
      </w:tr>
      <w:tr w:rsidR="00856B92" w:rsidRPr="004C7238" w:rsidTr="0073132B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4E27A7" w:rsidRDefault="00856B92" w:rsidP="00537866">
      <w:pPr>
        <w:spacing w:before="240" w:line="276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E27A7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4E27A7">
        <w:rPr>
          <w:rFonts w:ascii="Arial" w:hAnsi="Arial" w:cs="Arial"/>
          <w:sz w:val="24"/>
          <w:szCs w:val="24"/>
          <w:u w:val="single"/>
        </w:rPr>
        <w:t xml:space="preserve"> </w:t>
      </w:r>
      <w:r w:rsidR="00C50C4C" w:rsidRPr="004E27A7">
        <w:rPr>
          <w:rFonts w:ascii="Arial" w:hAnsi="Arial" w:cs="Arial"/>
          <w:b/>
          <w:sz w:val="24"/>
          <w:szCs w:val="24"/>
          <w:u w:val="single"/>
        </w:rPr>
        <w:t>3022-1.2</w:t>
      </w:r>
    </w:p>
    <w:p w:rsidR="00F578BB" w:rsidRPr="001D7112" w:rsidRDefault="00FC4CBC" w:rsidP="00537866">
      <w:pPr>
        <w:spacing w:line="276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D7112">
        <w:rPr>
          <w:rFonts w:ascii="Arial" w:hAnsi="Arial" w:cs="Arial"/>
          <w:b/>
          <w:sz w:val="24"/>
          <w:szCs w:val="24"/>
        </w:rPr>
        <w:t xml:space="preserve">Chapter 11 Final Report and Motion for Final Decree (Chapter 11 </w:t>
      </w:r>
      <w:r w:rsidR="00C50C4C" w:rsidRPr="001D7112">
        <w:rPr>
          <w:rFonts w:ascii="Arial" w:hAnsi="Arial" w:cs="Arial"/>
          <w:b/>
          <w:sz w:val="24"/>
          <w:szCs w:val="24"/>
        </w:rPr>
        <w:t>Individual</w:t>
      </w:r>
      <w:r w:rsidRPr="001D7112">
        <w:rPr>
          <w:rFonts w:ascii="Arial" w:hAnsi="Arial" w:cs="Arial"/>
          <w:b/>
          <w:sz w:val="24"/>
          <w:szCs w:val="24"/>
        </w:rPr>
        <w:t xml:space="preserve"> Debtor)</w:t>
      </w:r>
    </w:p>
    <w:p w:rsidR="001D7112" w:rsidRDefault="00290B09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2545970</wp:posOffset>
                </wp:positionV>
                <wp:extent cx="6830568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56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04E4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200.45pt" to="537.85pt,2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</w:p>
    <w:p w:rsidR="001D7112" w:rsidRDefault="001D7112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applicable sections.</w:t>
      </w:r>
    </w:p>
    <w:p w:rsidR="0073487F" w:rsidRPr="004C7238" w:rsidRDefault="007348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995AEE" w:rsidRDefault="00FC4CBC" w:rsidP="00CC0EC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Report and Motion</w:t>
            </w:r>
          </w:p>
        </w:tc>
      </w:tr>
    </w:tbl>
    <w:p w:rsidR="00537866" w:rsidRDefault="00537866" w:rsidP="00537866">
      <w:pPr>
        <w:pStyle w:val="instructions"/>
        <w:tabs>
          <w:tab w:val="left" w:pos="180"/>
          <w:tab w:val="left" w:pos="6840"/>
        </w:tabs>
        <w:spacing w:after="0" w:line="200" w:lineRule="exact"/>
        <w:ind w:right="86"/>
        <w:rPr>
          <w:rFonts w:ascii="Arial" w:hAnsi="Arial" w:cs="Arial"/>
          <w:szCs w:val="20"/>
        </w:rPr>
      </w:pPr>
    </w:p>
    <w:p w:rsidR="00FC4CBC" w:rsidRDefault="00FC4CBC" w:rsidP="00C50C4C">
      <w:pPr>
        <w:spacing w:after="0"/>
        <w:rPr>
          <w:rFonts w:ascii="Arial" w:hAnsi="Arial" w:cs="Arial"/>
          <w:sz w:val="20"/>
          <w:szCs w:val="20"/>
        </w:rPr>
      </w:pPr>
      <w:r w:rsidRPr="00E50EF7">
        <w:rPr>
          <w:rFonts w:ascii="Arial" w:hAnsi="Arial" w:cs="Arial"/>
          <w:sz w:val="20"/>
          <w:szCs w:val="20"/>
        </w:rPr>
        <w:t>Comes</w:t>
      </w:r>
      <w:r>
        <w:rPr>
          <w:rFonts w:ascii="Arial" w:hAnsi="Arial" w:cs="Arial"/>
          <w:sz w:val="20"/>
          <w:szCs w:val="20"/>
        </w:rPr>
        <w:t xml:space="preserve"> now the </w:t>
      </w:r>
      <w:r w:rsidR="001D711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ebtor</w:t>
      </w:r>
      <w:r w:rsidRPr="00E50EF7">
        <w:rPr>
          <w:rFonts w:ascii="Arial" w:hAnsi="Arial" w:cs="Arial"/>
          <w:sz w:val="20"/>
          <w:szCs w:val="20"/>
        </w:rPr>
        <w:t xml:space="preserve">, and pursuant to the provisions of 11 U.S.C. </w:t>
      </w:r>
      <w:r>
        <w:rPr>
          <w:rFonts w:ascii="Arial" w:hAnsi="Arial" w:cs="Arial"/>
          <w:sz w:val="20"/>
          <w:szCs w:val="20"/>
        </w:rPr>
        <w:t xml:space="preserve"> </w:t>
      </w:r>
      <w:r w:rsidRPr="00E50EF7">
        <w:rPr>
          <w:rFonts w:ascii="Arial" w:hAnsi="Arial" w:cs="Arial"/>
          <w:sz w:val="20"/>
          <w:szCs w:val="20"/>
        </w:rPr>
        <w:t>§ 1106(a</w:t>
      </w:r>
      <w:proofErr w:type="gramStart"/>
      <w:r w:rsidRPr="00E50EF7">
        <w:rPr>
          <w:rFonts w:ascii="Arial" w:hAnsi="Arial" w:cs="Arial"/>
          <w:sz w:val="20"/>
          <w:szCs w:val="20"/>
        </w:rPr>
        <w:t>)(</w:t>
      </w:r>
      <w:proofErr w:type="gramEnd"/>
      <w:r w:rsidRPr="00E50EF7">
        <w:rPr>
          <w:rFonts w:ascii="Arial" w:hAnsi="Arial" w:cs="Arial"/>
          <w:sz w:val="20"/>
          <w:szCs w:val="20"/>
        </w:rPr>
        <w:t>7) as order</w:t>
      </w:r>
      <w:r>
        <w:rPr>
          <w:rFonts w:ascii="Arial" w:hAnsi="Arial" w:cs="Arial"/>
          <w:sz w:val="20"/>
          <w:szCs w:val="20"/>
        </w:rPr>
        <w:t>ed</w:t>
      </w:r>
      <w:r w:rsidRPr="00E50EF7">
        <w:rPr>
          <w:rFonts w:ascii="Arial" w:hAnsi="Arial" w:cs="Arial"/>
          <w:sz w:val="20"/>
          <w:szCs w:val="20"/>
        </w:rPr>
        <w:t xml:space="preserve"> by this </w:t>
      </w:r>
      <w:r>
        <w:rPr>
          <w:rFonts w:ascii="Arial" w:hAnsi="Arial" w:cs="Arial"/>
          <w:sz w:val="20"/>
          <w:szCs w:val="20"/>
        </w:rPr>
        <w:t>C</w:t>
      </w:r>
      <w:r w:rsidRPr="00E50EF7">
        <w:rPr>
          <w:rFonts w:ascii="Arial" w:hAnsi="Arial" w:cs="Arial"/>
          <w:sz w:val="20"/>
          <w:szCs w:val="20"/>
        </w:rPr>
        <w:t>ourt, and submits that the estate herein is fully administered and that the plan has been substantially consummated as follows:</w:t>
      </w:r>
    </w:p>
    <w:p w:rsidR="001D7112" w:rsidRPr="00E50EF7" w:rsidRDefault="001D7112" w:rsidP="00C50C4C">
      <w:pPr>
        <w:spacing w:after="0"/>
        <w:rPr>
          <w:rFonts w:ascii="Arial" w:hAnsi="Arial" w:cs="Arial"/>
          <w:sz w:val="20"/>
          <w:szCs w:val="20"/>
        </w:rPr>
      </w:pPr>
    </w:p>
    <w:p w:rsidR="00FC4CBC" w:rsidRPr="00095AD8" w:rsidRDefault="00FC4CB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5AD8">
        <w:rPr>
          <w:rFonts w:ascii="Arial" w:hAnsi="Arial" w:cs="Arial"/>
          <w:sz w:val="20"/>
          <w:szCs w:val="20"/>
        </w:rPr>
        <w:t>That the order confirming the plan has become final;</w:t>
      </w:r>
    </w:p>
    <w:p w:rsidR="00FC4CBC" w:rsidRPr="00095AD8" w:rsidRDefault="00FC4CB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5AD8">
        <w:rPr>
          <w:rFonts w:ascii="Arial" w:hAnsi="Arial" w:cs="Arial"/>
          <w:sz w:val="20"/>
          <w:szCs w:val="20"/>
        </w:rPr>
        <w:t>That the deposits required by the plan have been distributed in accordance with the provisions of the plan as shown in Schedule A/B, attached hereto;</w:t>
      </w:r>
    </w:p>
    <w:p w:rsidR="00FC4CBC" w:rsidRPr="00095AD8" w:rsidRDefault="00FC4CB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5AD8">
        <w:rPr>
          <w:rFonts w:ascii="Arial" w:hAnsi="Arial" w:cs="Arial"/>
          <w:sz w:val="20"/>
          <w:szCs w:val="20"/>
        </w:rPr>
        <w:t xml:space="preserve">That substantially all of the property of the </w:t>
      </w:r>
      <w:r w:rsidR="001D7112">
        <w:rPr>
          <w:rFonts w:ascii="Arial" w:hAnsi="Arial" w:cs="Arial"/>
          <w:sz w:val="20"/>
          <w:szCs w:val="20"/>
        </w:rPr>
        <w:t>debtor</w:t>
      </w:r>
      <w:r w:rsidRPr="00095AD8">
        <w:rPr>
          <w:rFonts w:ascii="Arial" w:hAnsi="Arial" w:cs="Arial"/>
          <w:sz w:val="20"/>
          <w:szCs w:val="20"/>
        </w:rPr>
        <w:t xml:space="preserve"> h</w:t>
      </w:r>
      <w:r w:rsidR="00CD5C37">
        <w:rPr>
          <w:rFonts w:ascii="Arial" w:hAnsi="Arial" w:cs="Arial"/>
          <w:sz w:val="20"/>
          <w:szCs w:val="20"/>
        </w:rPr>
        <w:t>as</w:t>
      </w:r>
      <w:r w:rsidRPr="00095AD8">
        <w:rPr>
          <w:rFonts w:ascii="Arial" w:hAnsi="Arial" w:cs="Arial"/>
          <w:sz w:val="20"/>
          <w:szCs w:val="20"/>
        </w:rPr>
        <w:t xml:space="preserve"> been transferred according to the provisions of the plan as shown in Schedule A/B attached hereto;</w:t>
      </w:r>
    </w:p>
    <w:p w:rsidR="00FC4CBC" w:rsidRDefault="00FC4CB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5AD8">
        <w:rPr>
          <w:rFonts w:ascii="Arial" w:hAnsi="Arial" w:cs="Arial"/>
          <w:sz w:val="20"/>
          <w:szCs w:val="20"/>
        </w:rPr>
        <w:t xml:space="preserve">That the </w:t>
      </w:r>
      <w:r w:rsidR="001D7112">
        <w:rPr>
          <w:rFonts w:ascii="Arial" w:hAnsi="Arial" w:cs="Arial"/>
          <w:sz w:val="20"/>
          <w:szCs w:val="20"/>
        </w:rPr>
        <w:t>debtor</w:t>
      </w:r>
      <w:r w:rsidRPr="00095AD8">
        <w:rPr>
          <w:rFonts w:ascii="Arial" w:hAnsi="Arial" w:cs="Arial"/>
          <w:sz w:val="20"/>
          <w:szCs w:val="20"/>
        </w:rPr>
        <w:t xml:space="preserve"> or </w:t>
      </w:r>
      <w:r w:rsidR="001D7112">
        <w:rPr>
          <w:rFonts w:ascii="Arial" w:hAnsi="Arial" w:cs="Arial"/>
          <w:sz w:val="20"/>
          <w:szCs w:val="20"/>
        </w:rPr>
        <w:t>s</w:t>
      </w:r>
      <w:r w:rsidRPr="00095AD8">
        <w:rPr>
          <w:rFonts w:ascii="Arial" w:hAnsi="Arial" w:cs="Arial"/>
          <w:sz w:val="20"/>
          <w:szCs w:val="20"/>
        </w:rPr>
        <w:t>uccessor has assumed the business or the management of the property dealt with by the plan as applicable;</w:t>
      </w:r>
    </w:p>
    <w:p w:rsidR="00CD5C37" w:rsidRDefault="00CD5C37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That 11 U.S.C. § 522(q)(1) is not applicable to </w:t>
      </w:r>
      <w:r w:rsidR="001D7112">
        <w:rPr>
          <w:rFonts w:ascii="Arial" w:hAnsi="Arial" w:cs="Arial"/>
          <w:sz w:val="20"/>
          <w:szCs w:val="20"/>
        </w:rPr>
        <w:t>debtor</w:t>
      </w:r>
      <w:r>
        <w:rPr>
          <w:rFonts w:ascii="Arial" w:hAnsi="Arial" w:cs="Arial"/>
          <w:sz w:val="20"/>
          <w:szCs w:val="20"/>
        </w:rPr>
        <w:t xml:space="preserve"> and there are no pending proceedings in which the </w:t>
      </w:r>
      <w:r w:rsidR="001D7112">
        <w:rPr>
          <w:rFonts w:ascii="Arial" w:hAnsi="Arial" w:cs="Arial"/>
          <w:sz w:val="20"/>
          <w:szCs w:val="20"/>
        </w:rPr>
        <w:t>debtor</w:t>
      </w:r>
      <w:r>
        <w:rPr>
          <w:rFonts w:ascii="Arial" w:hAnsi="Arial" w:cs="Arial"/>
          <w:sz w:val="20"/>
          <w:szCs w:val="20"/>
        </w:rPr>
        <w:t xml:space="preserve"> may be found guilty of a felony as described in 11 U.S.C. § 522(q)(1)(A) or liable for a </w:t>
      </w:r>
      <w:r w:rsidR="001D7112">
        <w:rPr>
          <w:rFonts w:ascii="Arial" w:hAnsi="Arial" w:cs="Arial"/>
          <w:sz w:val="20"/>
          <w:szCs w:val="20"/>
        </w:rPr>
        <w:t>debt</w:t>
      </w:r>
      <w:r>
        <w:rPr>
          <w:rFonts w:ascii="Arial" w:hAnsi="Arial" w:cs="Arial"/>
          <w:sz w:val="20"/>
          <w:szCs w:val="20"/>
        </w:rPr>
        <w:t xml:space="preserve"> of the kind described in 11 U.S.C. § 522(q)(1)(B).</w:t>
      </w:r>
    </w:p>
    <w:p w:rsidR="00C50C4C" w:rsidRPr="00095AD8" w:rsidRDefault="00C50C4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95AD8">
        <w:rPr>
          <w:rFonts w:ascii="Arial" w:hAnsi="Arial" w:cs="Arial"/>
          <w:sz w:val="20"/>
          <w:szCs w:val="20"/>
        </w:rPr>
        <w:t>That all motions, contested matters, and adversary proceedings have been finally resolved.</w:t>
      </w:r>
    </w:p>
    <w:p w:rsidR="00C50C4C" w:rsidRPr="00095AD8" w:rsidRDefault="00C50C4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applicable, a st</w:t>
      </w:r>
      <w:r w:rsidR="002C3AF5">
        <w:rPr>
          <w:rFonts w:ascii="Arial" w:hAnsi="Arial" w:cs="Arial"/>
          <w:sz w:val="20"/>
          <w:szCs w:val="20"/>
        </w:rPr>
        <w:t>atement of completion of a course</w:t>
      </w:r>
      <w:r>
        <w:rPr>
          <w:rFonts w:ascii="Arial" w:hAnsi="Arial" w:cs="Arial"/>
          <w:sz w:val="20"/>
          <w:szCs w:val="20"/>
        </w:rPr>
        <w:t xml:space="preserve"> concerning personal financial management </w:t>
      </w:r>
      <w:proofErr w:type="gramStart"/>
      <w:r>
        <w:rPr>
          <w:rFonts w:ascii="Arial" w:hAnsi="Arial" w:cs="Arial"/>
          <w:sz w:val="20"/>
          <w:szCs w:val="20"/>
        </w:rPr>
        <w:t>is attached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C4CBC" w:rsidRPr="00095AD8" w:rsidRDefault="00C50C4C" w:rsidP="00C50C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relief as appropriate under the </w:t>
      </w:r>
      <w:r w:rsidR="001D7112">
        <w:rPr>
          <w:rFonts w:ascii="Arial" w:hAnsi="Arial" w:cs="Arial"/>
          <w:sz w:val="20"/>
          <w:szCs w:val="20"/>
        </w:rPr>
        <w:t>debtor</w:t>
      </w:r>
      <w:r>
        <w:rPr>
          <w:rFonts w:ascii="Arial" w:hAnsi="Arial" w:cs="Arial"/>
          <w:sz w:val="20"/>
          <w:szCs w:val="20"/>
        </w:rPr>
        <w:t>’</w:t>
      </w:r>
      <w:r w:rsidR="00D72AD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D72A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lan: </w:t>
      </w:r>
      <w:r w:rsidRPr="002C3AF5">
        <w:rPr>
          <w:rFonts w:ascii="Arial" w:hAnsi="Arial" w:cs="Arial"/>
          <w:b/>
          <w:sz w:val="20"/>
          <w:szCs w:val="20"/>
        </w:rPr>
        <w:t>[describe relief]</w:t>
      </w:r>
      <w:r>
        <w:rPr>
          <w:rFonts w:ascii="Arial" w:hAnsi="Arial" w:cs="Arial"/>
          <w:sz w:val="20"/>
          <w:szCs w:val="20"/>
        </w:rPr>
        <w:t>.</w:t>
      </w:r>
    </w:p>
    <w:p w:rsidR="00C50C4C" w:rsidRDefault="00C50C4C" w:rsidP="00C50C4C">
      <w:pPr>
        <w:spacing w:after="0"/>
        <w:rPr>
          <w:rFonts w:ascii="Arial" w:hAnsi="Arial" w:cs="Arial"/>
          <w:sz w:val="20"/>
          <w:szCs w:val="20"/>
        </w:rPr>
      </w:pPr>
    </w:p>
    <w:p w:rsidR="00BF158E" w:rsidRDefault="00FC4CBC" w:rsidP="00C50C4C">
      <w:pPr>
        <w:spacing w:after="0"/>
        <w:rPr>
          <w:rFonts w:ascii="Arial" w:hAnsi="Arial" w:cs="Arial"/>
          <w:sz w:val="20"/>
          <w:szCs w:val="20"/>
        </w:rPr>
      </w:pPr>
      <w:r w:rsidRPr="00E50EF7">
        <w:rPr>
          <w:rFonts w:ascii="Arial" w:hAnsi="Arial" w:cs="Arial"/>
          <w:sz w:val="20"/>
          <w:szCs w:val="20"/>
        </w:rPr>
        <w:t>WHEREFOR</w:t>
      </w:r>
      <w:r>
        <w:rPr>
          <w:rFonts w:ascii="Arial" w:hAnsi="Arial" w:cs="Arial"/>
          <w:sz w:val="20"/>
          <w:szCs w:val="20"/>
        </w:rPr>
        <w:t xml:space="preserve">E the </w:t>
      </w:r>
      <w:r w:rsidR="00D72AD3">
        <w:rPr>
          <w:rFonts w:ascii="Arial" w:hAnsi="Arial" w:cs="Arial"/>
          <w:sz w:val="20"/>
          <w:szCs w:val="20"/>
        </w:rPr>
        <w:t>d</w:t>
      </w:r>
      <w:r w:rsidRPr="00E50EF7">
        <w:rPr>
          <w:rFonts w:ascii="Arial" w:hAnsi="Arial" w:cs="Arial"/>
          <w:sz w:val="20"/>
          <w:szCs w:val="20"/>
        </w:rPr>
        <w:t>ebtor</w:t>
      </w:r>
      <w:r>
        <w:rPr>
          <w:rFonts w:ascii="Arial" w:hAnsi="Arial" w:cs="Arial"/>
          <w:sz w:val="20"/>
          <w:szCs w:val="20"/>
        </w:rPr>
        <w:t xml:space="preserve"> </w:t>
      </w:r>
      <w:r w:rsidRPr="00E50EF7">
        <w:rPr>
          <w:rFonts w:ascii="Arial" w:hAnsi="Arial" w:cs="Arial"/>
          <w:sz w:val="20"/>
          <w:szCs w:val="20"/>
        </w:rPr>
        <w:t xml:space="preserve">herein prays for the entry of the Final Decree pursuant to </w:t>
      </w:r>
      <w:r w:rsidRPr="00095AD8">
        <w:rPr>
          <w:rFonts w:ascii="Arial" w:hAnsi="Arial" w:cs="Arial"/>
          <w:sz w:val="20"/>
          <w:szCs w:val="20"/>
        </w:rPr>
        <w:t>Fed.</w:t>
      </w:r>
      <w:r w:rsidR="001D7112">
        <w:rPr>
          <w:rFonts w:ascii="Arial" w:hAnsi="Arial" w:cs="Arial"/>
          <w:sz w:val="20"/>
          <w:szCs w:val="20"/>
        </w:rPr>
        <w:t xml:space="preserve"> </w:t>
      </w:r>
      <w:r w:rsidRPr="00095AD8">
        <w:rPr>
          <w:rFonts w:ascii="Arial" w:hAnsi="Arial" w:cs="Arial"/>
          <w:sz w:val="20"/>
          <w:szCs w:val="20"/>
        </w:rPr>
        <w:t>R.</w:t>
      </w:r>
      <w:r w:rsidR="001D7112">
        <w:rPr>
          <w:rFonts w:ascii="Arial" w:hAnsi="Arial" w:cs="Arial"/>
          <w:sz w:val="20"/>
          <w:szCs w:val="20"/>
        </w:rPr>
        <w:t xml:space="preserve"> </w:t>
      </w:r>
      <w:r w:rsidRPr="00095AD8">
        <w:rPr>
          <w:rFonts w:ascii="Arial" w:hAnsi="Arial" w:cs="Arial"/>
          <w:sz w:val="20"/>
          <w:szCs w:val="20"/>
        </w:rPr>
        <w:t>Bankr.</w:t>
      </w:r>
      <w:r w:rsidR="001D7112">
        <w:rPr>
          <w:rFonts w:ascii="Arial" w:hAnsi="Arial" w:cs="Arial"/>
          <w:sz w:val="20"/>
          <w:szCs w:val="20"/>
        </w:rPr>
        <w:t xml:space="preserve"> </w:t>
      </w:r>
      <w:r w:rsidRPr="00095AD8">
        <w:rPr>
          <w:rFonts w:ascii="Arial" w:hAnsi="Arial" w:cs="Arial"/>
          <w:sz w:val="20"/>
          <w:szCs w:val="20"/>
        </w:rPr>
        <w:t>P.</w:t>
      </w:r>
      <w:r w:rsidRPr="00E50EF7">
        <w:rPr>
          <w:rFonts w:ascii="Arial" w:hAnsi="Arial" w:cs="Arial"/>
          <w:sz w:val="20"/>
          <w:szCs w:val="20"/>
        </w:rPr>
        <w:t xml:space="preserve"> 3022, finding that the estate </w:t>
      </w:r>
      <w:proofErr w:type="gramStart"/>
      <w:r w:rsidRPr="00E50EF7">
        <w:rPr>
          <w:rFonts w:ascii="Arial" w:hAnsi="Arial" w:cs="Arial"/>
          <w:sz w:val="20"/>
          <w:szCs w:val="20"/>
        </w:rPr>
        <w:t>has been fully administered</w:t>
      </w:r>
      <w:proofErr w:type="gramEnd"/>
      <w:r w:rsidRPr="00E50EF7">
        <w:rPr>
          <w:rFonts w:ascii="Arial" w:hAnsi="Arial" w:cs="Arial"/>
          <w:sz w:val="20"/>
          <w:szCs w:val="20"/>
        </w:rPr>
        <w:t xml:space="preserve"> and, therefore, ordering the closing of the case.</w:t>
      </w:r>
    </w:p>
    <w:p w:rsidR="00C50C4C" w:rsidRPr="00BF158E" w:rsidRDefault="00C50C4C" w:rsidP="00C50C4C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1D7112" w:rsidRPr="004E3DCB" w:rsidTr="004363A8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1D7112" w:rsidRPr="004E3DCB" w:rsidRDefault="001D7112" w:rsidP="001D7112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Part 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D7112" w:rsidRPr="004E3DCB" w:rsidRDefault="001D7112" w:rsidP="001D7112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4E3DCB">
              <w:rPr>
                <w:rFonts w:ascii="Arial" w:hAnsi="Arial" w:cs="Arial"/>
                <w:b/>
                <w:sz w:val="20"/>
                <w:szCs w:val="20"/>
              </w:rPr>
              <w:t>Signature of Debtor’s Attorney or Debtor (if unrepresented)</w:t>
            </w:r>
          </w:p>
        </w:tc>
      </w:tr>
    </w:tbl>
    <w:p w:rsidR="001D7112" w:rsidRDefault="001D7112" w:rsidP="001D711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br/>
      </w:r>
    </w:p>
    <w:p w:rsidR="001D7112" w:rsidRPr="004E3DCB" w:rsidRDefault="001D7112" w:rsidP="001D711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1D7112" w:rsidRPr="004E3DCB" w:rsidRDefault="001D7112" w:rsidP="001D711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1D7112" w:rsidRPr="004E3DCB" w:rsidRDefault="001D7112" w:rsidP="001D7112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1D7112" w:rsidRPr="004E3DCB" w:rsidRDefault="001D7112" w:rsidP="001D7112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1D7112" w:rsidRPr="004E3DCB" w:rsidRDefault="001D7112" w:rsidP="001D7112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1D7112" w:rsidRPr="004E3DCB" w:rsidRDefault="001D7112" w:rsidP="001D7112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1D7112" w:rsidRDefault="001D7112" w:rsidP="001D7112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2473DF" w:rsidRPr="004E3DCB" w:rsidRDefault="002473DF" w:rsidP="002473DF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</w:t>
      </w:r>
    </w:p>
    <w:p w:rsidR="002473DF" w:rsidRPr="004E3DCB" w:rsidRDefault="002473DF" w:rsidP="001D7112">
      <w:pPr>
        <w:spacing w:after="0"/>
        <w:ind w:left="5760"/>
        <w:rPr>
          <w:rFonts w:ascii="Arial" w:hAnsi="Arial" w:cs="Arial"/>
          <w:iCs/>
          <w:sz w:val="20"/>
          <w:szCs w:val="20"/>
        </w:rPr>
      </w:pPr>
    </w:p>
    <w:p w:rsidR="00B67485" w:rsidRDefault="00B67485" w:rsidP="00773E0F">
      <w:pPr>
        <w:spacing w:after="0"/>
        <w:ind w:left="5760"/>
        <w:rPr>
          <w:rFonts w:ascii="Arial" w:hAnsi="Arial" w:cs="Arial"/>
          <w:iCs/>
          <w:sz w:val="20"/>
          <w:szCs w:val="20"/>
        </w:rPr>
      </w:pPr>
    </w:p>
    <w:p w:rsidR="001D7112" w:rsidRDefault="001D7112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B67485" w:rsidRDefault="00B67485" w:rsidP="00B67485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B67485" w:rsidRPr="004C7238" w:rsidTr="004B5CCA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67485" w:rsidRPr="004C7238" w:rsidRDefault="00B67485" w:rsidP="004B5C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Cs/>
              </w:rPr>
              <w:br w:type="page"/>
            </w: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B67485" w:rsidRPr="004C7238" w:rsidTr="004B5CCA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B67485" w:rsidRPr="004C7238" w:rsidTr="004B5CCA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</w:tr>
      <w:tr w:rsidR="00B67485" w:rsidRPr="004C7238" w:rsidTr="004B5CCA">
        <w:tc>
          <w:tcPr>
            <w:tcW w:w="1051" w:type="dxa"/>
            <w:tcBorders>
              <w:left w:val="single" w:sz="4" w:space="0" w:color="auto"/>
            </w:tcBorders>
          </w:tcPr>
          <w:p w:rsidR="00B67485" w:rsidRPr="004C7238" w:rsidRDefault="00B67485" w:rsidP="004B5C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B67485" w:rsidRPr="004C7238" w:rsidRDefault="00B67485" w:rsidP="004B5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  <w:p w:rsidR="00B67485" w:rsidRPr="004C7238" w:rsidRDefault="001D7112" w:rsidP="004B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67485" w:rsidRPr="004C7238" w:rsidTr="004B5CCA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7485" w:rsidRPr="004C7238" w:rsidTr="004B5CCA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67485" w:rsidRDefault="00B67485" w:rsidP="00B67485">
      <w:pPr>
        <w:jc w:val="center"/>
        <w:rPr>
          <w:rFonts w:ascii="Arial" w:hAnsi="Arial" w:cs="Arial"/>
          <w:b/>
          <w:sz w:val="20"/>
          <w:szCs w:val="20"/>
        </w:rPr>
      </w:pPr>
    </w:p>
    <w:p w:rsidR="00B67485" w:rsidRPr="001D7112" w:rsidRDefault="00B67485" w:rsidP="00B67485">
      <w:pPr>
        <w:rPr>
          <w:rFonts w:ascii="Arial" w:hAnsi="Arial" w:cs="Arial"/>
          <w:b/>
          <w:sz w:val="20"/>
          <w:szCs w:val="20"/>
        </w:rPr>
      </w:pPr>
      <w:r w:rsidRPr="001D7112">
        <w:rPr>
          <w:rFonts w:ascii="Arial" w:hAnsi="Arial" w:cs="Arial"/>
          <w:b/>
          <w:sz w:val="20"/>
          <w:szCs w:val="20"/>
        </w:rPr>
        <w:t>SCHEDULE A/B</w:t>
      </w:r>
    </w:p>
    <w:p w:rsidR="001D7112" w:rsidRPr="00E50EF7" w:rsidRDefault="001D7112" w:rsidP="001D7112">
      <w:pPr>
        <w:rPr>
          <w:rFonts w:ascii="Arial" w:hAnsi="Arial" w:cs="Arial"/>
          <w:sz w:val="20"/>
          <w:szCs w:val="20"/>
        </w:rPr>
      </w:pPr>
      <w:r w:rsidRPr="00E50EF7">
        <w:rPr>
          <w:rFonts w:ascii="Arial" w:hAnsi="Arial" w:cs="Arial"/>
          <w:sz w:val="20"/>
          <w:szCs w:val="20"/>
        </w:rPr>
        <w:t>Nature and amount of deposits distributed in accordance with the provisions of the plan: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7"/>
        <w:gridCol w:w="3591"/>
        <w:gridCol w:w="3612"/>
      </w:tblGrid>
      <w:tr w:rsidR="001D7112" w:rsidRPr="004649A7" w:rsidTr="004363A8">
        <w:tc>
          <w:tcPr>
            <w:tcW w:w="1662" w:type="pct"/>
          </w:tcPr>
          <w:p w:rsidR="001D7112" w:rsidRPr="004649A7" w:rsidRDefault="001D7112" w:rsidP="00436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 xml:space="preserve">Nature of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649A7">
              <w:rPr>
                <w:rFonts w:ascii="Arial" w:hAnsi="Arial" w:cs="Arial"/>
                <w:sz w:val="20"/>
                <w:szCs w:val="20"/>
              </w:rPr>
              <w:t>eposit</w:t>
            </w:r>
          </w:p>
        </w:tc>
        <w:tc>
          <w:tcPr>
            <w:tcW w:w="1664" w:type="pct"/>
          </w:tcPr>
          <w:p w:rsidR="001D7112" w:rsidRPr="004649A7" w:rsidRDefault="001D7112" w:rsidP="00436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>Amount</w:t>
            </w:r>
          </w:p>
        </w:tc>
        <w:tc>
          <w:tcPr>
            <w:tcW w:w="1674" w:type="pct"/>
          </w:tcPr>
          <w:p w:rsidR="001D7112" w:rsidRPr="004649A7" w:rsidRDefault="001D7112" w:rsidP="004363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>Distribution</w:t>
            </w:r>
          </w:p>
        </w:tc>
      </w:tr>
      <w:tr w:rsidR="001D7112" w:rsidRPr="004649A7" w:rsidTr="004363A8">
        <w:tc>
          <w:tcPr>
            <w:tcW w:w="1662" w:type="pct"/>
          </w:tcPr>
          <w:p w:rsidR="001D7112" w:rsidRPr="004649A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pct"/>
          </w:tcPr>
          <w:p w:rsidR="001D7112" w:rsidRPr="004649A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pct"/>
          </w:tcPr>
          <w:p w:rsidR="001D7112" w:rsidRPr="004649A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112" w:rsidRPr="004649A7" w:rsidTr="004363A8">
        <w:tc>
          <w:tcPr>
            <w:tcW w:w="1662" w:type="pct"/>
          </w:tcPr>
          <w:p w:rsidR="001D7112" w:rsidRPr="004649A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4" w:type="pct"/>
          </w:tcPr>
          <w:p w:rsidR="001D7112" w:rsidRPr="004649A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4" w:type="pct"/>
          </w:tcPr>
          <w:p w:rsidR="001D7112" w:rsidRPr="004649A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112" w:rsidRPr="004649A7" w:rsidRDefault="001D7112" w:rsidP="001D7112">
      <w:pPr>
        <w:rPr>
          <w:rFonts w:ascii="Arial" w:hAnsi="Arial" w:cs="Arial"/>
          <w:sz w:val="20"/>
          <w:szCs w:val="20"/>
        </w:rPr>
      </w:pPr>
    </w:p>
    <w:p w:rsidR="001D7112" w:rsidRPr="004649A7" w:rsidRDefault="001D7112" w:rsidP="001D7112">
      <w:pPr>
        <w:spacing w:after="0"/>
        <w:rPr>
          <w:rFonts w:ascii="Arial" w:hAnsi="Arial" w:cs="Arial"/>
          <w:sz w:val="20"/>
          <w:szCs w:val="20"/>
        </w:rPr>
      </w:pPr>
      <w:r w:rsidRPr="004649A7">
        <w:rPr>
          <w:rFonts w:ascii="Arial" w:hAnsi="Arial" w:cs="Arial"/>
          <w:sz w:val="20"/>
          <w:szCs w:val="20"/>
        </w:rPr>
        <w:t>The following property of the debtor has been/</w:t>
      </w:r>
      <w:proofErr w:type="gramStart"/>
      <w:r w:rsidRPr="004649A7">
        <w:rPr>
          <w:rFonts w:ascii="Arial" w:hAnsi="Arial" w:cs="Arial"/>
          <w:sz w:val="20"/>
          <w:szCs w:val="20"/>
        </w:rPr>
        <w:t>will be transferred</w:t>
      </w:r>
      <w:proofErr w:type="gramEnd"/>
      <w:r w:rsidRPr="004649A7">
        <w:rPr>
          <w:rFonts w:ascii="Arial" w:hAnsi="Arial" w:cs="Arial"/>
          <w:sz w:val="20"/>
          <w:szCs w:val="20"/>
        </w:rPr>
        <w:t xml:space="preserve"> according to the provisions of the plan:</w:t>
      </w:r>
    </w:p>
    <w:p w:rsidR="001D7112" w:rsidRPr="004649A7" w:rsidRDefault="001D7112" w:rsidP="001D711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2623"/>
        <w:gridCol w:w="2622"/>
        <w:gridCol w:w="2922"/>
      </w:tblGrid>
      <w:tr w:rsidR="001D7112" w:rsidRPr="004649A7" w:rsidTr="004363A8">
        <w:tc>
          <w:tcPr>
            <w:tcW w:w="1215" w:type="pct"/>
          </w:tcPr>
          <w:p w:rsidR="001D7112" w:rsidRPr="004649A7" w:rsidRDefault="001D7112" w:rsidP="004363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of p</w:t>
            </w:r>
            <w:r w:rsidRPr="004649A7">
              <w:rPr>
                <w:rFonts w:ascii="Arial" w:hAnsi="Arial" w:cs="Arial"/>
                <w:sz w:val="20"/>
                <w:szCs w:val="20"/>
              </w:rPr>
              <w:t>roperty</w:t>
            </w:r>
          </w:p>
        </w:tc>
        <w:tc>
          <w:tcPr>
            <w:tcW w:w="1215" w:type="pct"/>
          </w:tcPr>
          <w:p w:rsidR="001D7112" w:rsidRPr="004649A7" w:rsidRDefault="001D7112" w:rsidP="004363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 xml:space="preserve">Value of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4649A7">
              <w:rPr>
                <w:rFonts w:ascii="Arial" w:hAnsi="Arial" w:cs="Arial"/>
                <w:sz w:val="20"/>
                <w:szCs w:val="20"/>
              </w:rPr>
              <w:t>roperty</w:t>
            </w:r>
          </w:p>
        </w:tc>
        <w:tc>
          <w:tcPr>
            <w:tcW w:w="1215" w:type="pct"/>
          </w:tcPr>
          <w:p w:rsidR="001D7112" w:rsidRPr="004649A7" w:rsidRDefault="001D7112" w:rsidP="004363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 xml:space="preserve">Transferred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649A7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354" w:type="pct"/>
          </w:tcPr>
          <w:p w:rsidR="001D7112" w:rsidRPr="004649A7" w:rsidRDefault="001D7112" w:rsidP="004363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4649A7">
              <w:rPr>
                <w:rFonts w:ascii="Arial" w:hAnsi="Arial" w:cs="Arial"/>
                <w:sz w:val="20"/>
                <w:szCs w:val="20"/>
              </w:rPr>
              <w:t xml:space="preserve">ransfer </w:t>
            </w:r>
          </w:p>
          <w:p w:rsidR="001D7112" w:rsidRPr="004649A7" w:rsidRDefault="001D7112" w:rsidP="004363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9A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649A7">
              <w:rPr>
                <w:rFonts w:ascii="Arial" w:hAnsi="Arial" w:cs="Arial"/>
                <w:sz w:val="20"/>
                <w:szCs w:val="20"/>
              </w:rPr>
              <w:t xml:space="preserve">ctual or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649A7">
              <w:rPr>
                <w:rFonts w:ascii="Arial" w:hAnsi="Arial" w:cs="Arial"/>
                <w:sz w:val="20"/>
                <w:szCs w:val="20"/>
              </w:rPr>
              <w:t>stimated)</w:t>
            </w:r>
          </w:p>
        </w:tc>
      </w:tr>
      <w:tr w:rsidR="001D7112" w:rsidRPr="00E50EF7" w:rsidTr="004363A8">
        <w:tc>
          <w:tcPr>
            <w:tcW w:w="1215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112" w:rsidRPr="00E50EF7" w:rsidTr="004363A8">
        <w:tc>
          <w:tcPr>
            <w:tcW w:w="1215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pct"/>
          </w:tcPr>
          <w:p w:rsidR="001D7112" w:rsidRPr="00E50EF7" w:rsidRDefault="001D7112" w:rsidP="004363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7485" w:rsidRPr="00E50EF7" w:rsidRDefault="00B67485" w:rsidP="00B67485">
      <w:pPr>
        <w:rPr>
          <w:rFonts w:ascii="Arial" w:hAnsi="Arial" w:cs="Arial"/>
          <w:sz w:val="20"/>
          <w:szCs w:val="20"/>
        </w:rPr>
      </w:pPr>
    </w:p>
    <w:p w:rsidR="00B67485" w:rsidRPr="00E50EF7" w:rsidRDefault="00B67485" w:rsidP="00B67485">
      <w:pPr>
        <w:rPr>
          <w:rFonts w:ascii="Arial" w:hAnsi="Arial" w:cs="Arial"/>
          <w:sz w:val="20"/>
          <w:szCs w:val="20"/>
        </w:rPr>
      </w:pPr>
    </w:p>
    <w:p w:rsidR="00B67485" w:rsidRPr="00E50EF7" w:rsidRDefault="00B67485" w:rsidP="00B67485">
      <w:pPr>
        <w:rPr>
          <w:rFonts w:ascii="Arial" w:hAnsi="Arial" w:cs="Arial"/>
          <w:sz w:val="20"/>
          <w:szCs w:val="20"/>
        </w:rPr>
      </w:pPr>
    </w:p>
    <w:p w:rsidR="00B67485" w:rsidRDefault="00B674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B67485" w:rsidRPr="004C7238" w:rsidTr="004B5CCA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B67485" w:rsidRPr="004C7238" w:rsidRDefault="00B67485" w:rsidP="004B5CCA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lastRenderedPageBreak/>
              <w:t>Fill in this information to identify your case</w:t>
            </w:r>
          </w:p>
        </w:tc>
      </w:tr>
      <w:tr w:rsidR="00B67485" w:rsidRPr="004C7238" w:rsidTr="004B5CCA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B67485" w:rsidRPr="004C7238" w:rsidTr="004B5CCA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</w:tr>
      <w:tr w:rsidR="00B67485" w:rsidRPr="004C7238" w:rsidTr="004B5CCA">
        <w:tc>
          <w:tcPr>
            <w:tcW w:w="1051" w:type="dxa"/>
            <w:tcBorders>
              <w:left w:val="single" w:sz="4" w:space="0" w:color="auto"/>
            </w:tcBorders>
          </w:tcPr>
          <w:p w:rsidR="00B67485" w:rsidRPr="004C7238" w:rsidRDefault="00B67485" w:rsidP="004B5C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B67485" w:rsidRPr="004C7238" w:rsidRDefault="00B67485" w:rsidP="004B5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  <w:p w:rsidR="00B67485" w:rsidRPr="004C7238" w:rsidRDefault="006F3899" w:rsidP="004B5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67485" w:rsidRPr="004C7238" w:rsidTr="004B5CCA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B67485" w:rsidRPr="004C7238" w:rsidRDefault="00B67485" w:rsidP="004B5CCA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67485" w:rsidRPr="004C7238" w:rsidTr="004B5CCA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67485" w:rsidRPr="004C7238" w:rsidRDefault="00B67485" w:rsidP="004B5CC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5" w:rsidRPr="004C7238" w:rsidRDefault="00B67485" w:rsidP="004B5C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67485" w:rsidRDefault="00B67485" w:rsidP="00B67485">
      <w:pPr>
        <w:spacing w:after="0"/>
        <w:rPr>
          <w:rFonts w:ascii="Arial" w:hAnsi="Arial" w:cs="Arial"/>
          <w:sz w:val="20"/>
          <w:szCs w:val="20"/>
        </w:rPr>
      </w:pPr>
    </w:p>
    <w:p w:rsidR="00B67485" w:rsidRPr="00E50EF7" w:rsidRDefault="00B67485" w:rsidP="00B67485">
      <w:pPr>
        <w:rPr>
          <w:rFonts w:ascii="Arial" w:hAnsi="Arial" w:cs="Arial"/>
          <w:b/>
          <w:sz w:val="20"/>
          <w:szCs w:val="20"/>
        </w:rPr>
      </w:pPr>
      <w:r w:rsidRPr="00E50EF7">
        <w:rPr>
          <w:rFonts w:ascii="Arial" w:hAnsi="Arial" w:cs="Arial"/>
          <w:b/>
          <w:sz w:val="20"/>
          <w:szCs w:val="20"/>
        </w:rPr>
        <w:t>SCHEDULE C</w:t>
      </w:r>
    </w:p>
    <w:p w:rsidR="001D7112" w:rsidRPr="00E50EF7" w:rsidRDefault="001D7112" w:rsidP="001D7112">
      <w:pPr>
        <w:rPr>
          <w:rFonts w:ascii="Arial" w:hAnsi="Arial" w:cs="Arial"/>
          <w:sz w:val="20"/>
          <w:szCs w:val="20"/>
        </w:rPr>
      </w:pPr>
      <w:r w:rsidRPr="00E50EF7">
        <w:rPr>
          <w:rFonts w:ascii="Arial" w:hAnsi="Arial" w:cs="Arial"/>
          <w:sz w:val="20"/>
          <w:szCs w:val="20"/>
        </w:rPr>
        <w:t>Payments completed under the provisions of the plan are as follows:</w:t>
      </w:r>
    </w:p>
    <w:p w:rsidR="001D7112" w:rsidRPr="00C74C62" w:rsidRDefault="001D7112" w:rsidP="001D7112">
      <w:pPr>
        <w:rPr>
          <w:rFonts w:ascii="Arial" w:hAnsi="Arial" w:cs="Arial"/>
          <w:sz w:val="20"/>
          <w:szCs w:val="20"/>
        </w:rPr>
      </w:pPr>
      <w:r w:rsidRPr="00C74C62">
        <w:rPr>
          <w:rFonts w:ascii="Arial" w:hAnsi="Arial" w:cs="Arial"/>
          <w:sz w:val="20"/>
          <w:szCs w:val="20"/>
        </w:rPr>
        <w:t>Administrative Payments/Fees and Taxes: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1"/>
        <w:gridCol w:w="2789"/>
      </w:tblGrid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Trustee’s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ommissions and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67485">
              <w:rPr>
                <w:rFonts w:ascii="Arial" w:hAnsi="Arial" w:cs="Arial"/>
                <w:sz w:val="20"/>
                <w:szCs w:val="20"/>
              </w:rPr>
              <w:t>xpenses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7112" w:rsidRPr="00B67485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Accountant’s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67485">
              <w:rPr>
                <w:rFonts w:ascii="Arial" w:hAnsi="Arial" w:cs="Arial"/>
                <w:sz w:val="20"/>
                <w:szCs w:val="20"/>
              </w:rPr>
              <w:t>ees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Auctioneer’s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67485">
              <w:rPr>
                <w:rFonts w:ascii="Arial" w:hAnsi="Arial" w:cs="Arial"/>
                <w:sz w:val="20"/>
                <w:szCs w:val="20"/>
              </w:rPr>
              <w:t>ees</w:t>
            </w:r>
            <w:r w:rsidRPr="00B6748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Appraiser’s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67485">
              <w:rPr>
                <w:rFonts w:ascii="Arial" w:hAnsi="Arial" w:cs="Arial"/>
                <w:sz w:val="20"/>
                <w:szCs w:val="20"/>
              </w:rPr>
              <w:t>ees</w:t>
            </w:r>
            <w:r w:rsidRPr="00B6748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Attorney’s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67485">
              <w:rPr>
                <w:rFonts w:ascii="Arial" w:hAnsi="Arial" w:cs="Arial"/>
                <w:sz w:val="20"/>
                <w:szCs w:val="20"/>
              </w:rPr>
              <w:t>ees</w:t>
            </w:r>
          </w:p>
        </w:tc>
        <w:tc>
          <w:tcPr>
            <w:tcW w:w="1291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6F3899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c</w:t>
            </w:r>
            <w:r w:rsidRPr="00B67485">
              <w:rPr>
                <w:rFonts w:ascii="Arial" w:hAnsi="Arial" w:cs="Arial"/>
                <w:sz w:val="20"/>
                <w:szCs w:val="20"/>
              </w:rPr>
              <w:t>reditor</w:t>
            </w:r>
            <w:r w:rsidR="006F3899">
              <w:rPr>
                <w:rFonts w:ascii="Arial" w:hAnsi="Arial" w:cs="Arial"/>
                <w:sz w:val="20"/>
                <w:szCs w:val="20"/>
              </w:rPr>
              <w:t>s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’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67485">
              <w:rPr>
                <w:rFonts w:ascii="Arial" w:hAnsi="Arial" w:cs="Arial"/>
                <w:sz w:val="20"/>
                <w:szCs w:val="20"/>
              </w:rPr>
              <w:t>ommittee</w:t>
            </w:r>
          </w:p>
        </w:tc>
        <w:tc>
          <w:tcPr>
            <w:tcW w:w="12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B67485">
              <w:rPr>
                <w:rFonts w:ascii="Arial" w:hAnsi="Arial" w:cs="Arial"/>
                <w:sz w:val="20"/>
                <w:szCs w:val="20"/>
              </w:rPr>
              <w:t>rustee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>fo</w:t>
            </w:r>
            <w:r>
              <w:rPr>
                <w:rFonts w:ascii="Arial" w:hAnsi="Arial" w:cs="Arial"/>
                <w:sz w:val="20"/>
                <w:szCs w:val="20"/>
              </w:rPr>
              <w:t>r debtor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1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ther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67485">
              <w:rPr>
                <w:rFonts w:ascii="Arial" w:hAnsi="Arial" w:cs="Arial"/>
                <w:sz w:val="20"/>
                <w:szCs w:val="20"/>
              </w:rPr>
              <w:t>ttor</w:t>
            </w:r>
            <w:r>
              <w:rPr>
                <w:rFonts w:ascii="Arial" w:hAnsi="Arial" w:cs="Arial"/>
                <w:sz w:val="20"/>
                <w:szCs w:val="20"/>
              </w:rPr>
              <w:t>ney’s f</w:t>
            </w:r>
            <w:r w:rsidRPr="00B67485">
              <w:rPr>
                <w:rFonts w:ascii="Arial" w:hAnsi="Arial" w:cs="Arial"/>
                <w:sz w:val="20"/>
                <w:szCs w:val="20"/>
              </w:rPr>
              <w:t>ees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Taxes,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ines,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67485">
              <w:rPr>
                <w:rFonts w:ascii="Arial" w:hAnsi="Arial" w:cs="Arial"/>
                <w:sz w:val="20"/>
                <w:szCs w:val="20"/>
              </w:rPr>
              <w:t>enalties, etc. (11 U.S.C. § 502(b)(1)(B) &amp; (C))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67485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67485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67485">
              <w:rPr>
                <w:rFonts w:ascii="Arial" w:hAnsi="Arial" w:cs="Arial"/>
                <w:sz w:val="20"/>
                <w:szCs w:val="20"/>
              </w:rPr>
              <w:t>on-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perating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osts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67485">
              <w:rPr>
                <w:rFonts w:ascii="Arial" w:hAnsi="Arial" w:cs="Arial"/>
                <w:sz w:val="20"/>
                <w:szCs w:val="20"/>
              </w:rPr>
              <w:t xml:space="preserve">dministration </w:t>
            </w:r>
            <w:r w:rsidRPr="004649A7">
              <w:rPr>
                <w:rFonts w:ascii="Arial" w:hAnsi="Arial" w:cs="Arial"/>
                <w:sz w:val="20"/>
                <w:szCs w:val="20"/>
              </w:rPr>
              <w:t>(itemize on attached document)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Default="001D7112" w:rsidP="004363A8">
            <w:pPr>
              <w:spacing w:before="240"/>
            </w:pPr>
            <w:r w:rsidRPr="004F5165">
              <w:rPr>
                <w:rFonts w:ascii="Arial" w:hAnsi="Arial" w:cs="Arial"/>
              </w:rPr>
              <w:t>$</w:t>
            </w:r>
          </w:p>
        </w:tc>
      </w:tr>
      <w:tr w:rsidR="001D7112" w:rsidRPr="00B67485" w:rsidTr="004363A8">
        <w:tc>
          <w:tcPr>
            <w:tcW w:w="3709" w:type="pct"/>
            <w:shd w:val="clear" w:color="auto" w:fill="auto"/>
            <w:vAlign w:val="bottom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dministrative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>ayments/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ees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>axes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D7112" w:rsidRPr="00BF158E" w:rsidRDefault="001D7112" w:rsidP="004363A8">
            <w:pPr>
              <w:spacing w:before="240"/>
              <w:rPr>
                <w:b/>
              </w:rPr>
            </w:pPr>
            <w:r w:rsidRPr="00BF158E">
              <w:rPr>
                <w:rFonts w:ascii="Arial" w:hAnsi="Arial" w:cs="Arial"/>
                <w:b/>
              </w:rPr>
              <w:t>$</w:t>
            </w:r>
          </w:p>
        </w:tc>
      </w:tr>
    </w:tbl>
    <w:p w:rsidR="001D7112" w:rsidRPr="00E50EF7" w:rsidRDefault="001D7112" w:rsidP="001D7112">
      <w:pPr>
        <w:rPr>
          <w:rFonts w:ascii="Arial" w:hAnsi="Arial" w:cs="Arial"/>
          <w:sz w:val="20"/>
          <w:szCs w:val="20"/>
        </w:rPr>
      </w:pPr>
    </w:p>
    <w:p w:rsidR="001D7112" w:rsidRPr="00E50EF7" w:rsidRDefault="001D7112" w:rsidP="001D7112">
      <w:pPr>
        <w:rPr>
          <w:rFonts w:ascii="Arial" w:hAnsi="Arial" w:cs="Arial"/>
          <w:b/>
          <w:sz w:val="20"/>
          <w:szCs w:val="20"/>
        </w:rPr>
      </w:pPr>
      <w:r w:rsidRPr="00E50EF7">
        <w:rPr>
          <w:rFonts w:ascii="Arial" w:hAnsi="Arial" w:cs="Arial"/>
          <w:b/>
          <w:sz w:val="20"/>
          <w:szCs w:val="20"/>
          <w:u w:val="single"/>
        </w:rPr>
        <w:t>Other Priority Payments</w:t>
      </w:r>
      <w:r w:rsidRPr="00E50EF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1"/>
        <w:gridCol w:w="2789"/>
      </w:tblGrid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Post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nvoluntary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sz w:val="20"/>
                <w:szCs w:val="20"/>
              </w:rPr>
              <w:t>etition/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re-relief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laims 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>Wages, etc.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Default="001D7112" w:rsidP="004363A8">
            <w:pPr>
              <w:spacing w:before="240"/>
            </w:pPr>
            <w:r w:rsidRPr="008B5E61"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Contributions to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mployee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enefit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sz w:val="20"/>
                <w:szCs w:val="20"/>
              </w:rPr>
              <w:t>lans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Default="001D7112" w:rsidP="004363A8">
            <w:pPr>
              <w:spacing w:before="240"/>
            </w:pPr>
            <w:r w:rsidRPr="008B5E61"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Deposits for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ndelivered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ervice or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sz w:val="20"/>
                <w:szCs w:val="20"/>
              </w:rPr>
              <w:t>roperty</w:t>
            </w:r>
            <w:r w:rsidRPr="00BF158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Default="001D7112" w:rsidP="004363A8">
            <w:pPr>
              <w:spacing w:before="240"/>
            </w:pPr>
            <w:r w:rsidRPr="008B5E61"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>Taxes (11 U.S.C. § 507(a)(6))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Default="001D7112" w:rsidP="004363A8">
            <w:pPr>
              <w:spacing w:before="240"/>
            </w:pPr>
            <w:r w:rsidRPr="008B5E61"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ther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riority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ayments: 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b/>
              </w:rPr>
            </w:pPr>
            <w:r w:rsidRPr="00BF158E">
              <w:rPr>
                <w:rFonts w:ascii="Arial" w:hAnsi="Arial" w:cs="Arial"/>
                <w:b/>
              </w:rPr>
              <w:t>$</w:t>
            </w:r>
          </w:p>
        </w:tc>
      </w:tr>
    </w:tbl>
    <w:p w:rsidR="001D7112" w:rsidRDefault="001D7112" w:rsidP="001D7112">
      <w:pPr>
        <w:rPr>
          <w:rFonts w:ascii="Arial" w:hAnsi="Arial" w:cs="Arial"/>
          <w:sz w:val="20"/>
          <w:szCs w:val="20"/>
        </w:rPr>
      </w:pPr>
    </w:p>
    <w:p w:rsidR="001D7112" w:rsidRPr="00E50EF7" w:rsidRDefault="001D7112" w:rsidP="001D7112">
      <w:pPr>
        <w:rPr>
          <w:rFonts w:ascii="Arial" w:hAnsi="Arial" w:cs="Arial"/>
          <w:sz w:val="20"/>
          <w:szCs w:val="20"/>
        </w:rPr>
      </w:pPr>
    </w:p>
    <w:p w:rsidR="001D7112" w:rsidRPr="00E50EF7" w:rsidRDefault="001D7112" w:rsidP="001D7112">
      <w:pPr>
        <w:rPr>
          <w:rFonts w:ascii="Arial" w:hAnsi="Arial" w:cs="Arial"/>
          <w:b/>
          <w:sz w:val="20"/>
          <w:szCs w:val="20"/>
        </w:rPr>
      </w:pPr>
      <w:r w:rsidRPr="00E50EF7">
        <w:rPr>
          <w:rFonts w:ascii="Arial" w:hAnsi="Arial" w:cs="Arial"/>
          <w:b/>
          <w:sz w:val="20"/>
          <w:szCs w:val="20"/>
          <w:u w:val="single"/>
        </w:rPr>
        <w:lastRenderedPageBreak/>
        <w:t>Other Payments Completed Under the Plan</w:t>
      </w:r>
      <w:r w:rsidRPr="00E50EF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1"/>
        <w:gridCol w:w="2789"/>
      </w:tblGrid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Payments to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ecured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F158E">
              <w:rPr>
                <w:rFonts w:ascii="Arial" w:hAnsi="Arial" w:cs="Arial"/>
                <w:sz w:val="20"/>
                <w:szCs w:val="20"/>
              </w:rPr>
              <w:t>reditors</w:t>
            </w:r>
          </w:p>
        </w:tc>
        <w:tc>
          <w:tcPr>
            <w:tcW w:w="1291" w:type="pct"/>
            <w:tcBorders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Payments to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nsecured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F158E">
              <w:rPr>
                <w:rFonts w:ascii="Arial" w:hAnsi="Arial" w:cs="Arial"/>
                <w:sz w:val="20"/>
                <w:szCs w:val="20"/>
              </w:rPr>
              <w:t>reditors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Payments to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F158E">
              <w:rPr>
                <w:rFonts w:ascii="Arial" w:hAnsi="Arial" w:cs="Arial"/>
                <w:sz w:val="20"/>
                <w:szCs w:val="20"/>
              </w:rPr>
              <w:t xml:space="preserve">quity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BF158E">
              <w:rPr>
                <w:rFonts w:ascii="Arial" w:hAnsi="Arial" w:cs="Arial"/>
                <w:sz w:val="20"/>
                <w:szCs w:val="20"/>
              </w:rPr>
              <w:t>olders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BF158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158E">
              <w:rPr>
                <w:rFonts w:ascii="Arial" w:hAnsi="Arial" w:cs="Arial"/>
                <w:sz w:val="20"/>
                <w:szCs w:val="20"/>
              </w:rPr>
              <w:t>istributions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  <w:tr w:rsidR="001D7112" w:rsidRPr="00BF158E" w:rsidTr="004363A8">
        <w:tc>
          <w:tcPr>
            <w:tcW w:w="3709" w:type="pct"/>
          </w:tcPr>
          <w:p w:rsidR="001D7112" w:rsidRPr="00BF158E" w:rsidRDefault="001D7112" w:rsidP="004363A8">
            <w:pPr>
              <w:pStyle w:val="ListParagraph"/>
              <w:numPr>
                <w:ilvl w:val="0"/>
                <w:numId w:val="6"/>
              </w:num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ot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her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ayments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 xml:space="preserve">ompleted under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BF158E">
              <w:rPr>
                <w:rFonts w:ascii="Arial" w:hAnsi="Arial" w:cs="Arial"/>
                <w:b/>
                <w:sz w:val="20"/>
                <w:szCs w:val="20"/>
              </w:rPr>
              <w:t>lan</w:t>
            </w: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</w:tcBorders>
          </w:tcPr>
          <w:p w:rsidR="001D7112" w:rsidRPr="00BF158E" w:rsidRDefault="001D7112" w:rsidP="004363A8">
            <w:pPr>
              <w:spacing w:before="240"/>
              <w:rPr>
                <w:rFonts w:ascii="Arial" w:hAnsi="Arial" w:cs="Arial"/>
                <w:b/>
              </w:rPr>
            </w:pPr>
            <w:r w:rsidRPr="00BF158E">
              <w:rPr>
                <w:rFonts w:ascii="Arial" w:hAnsi="Arial" w:cs="Arial"/>
                <w:b/>
              </w:rPr>
              <w:t>$</w:t>
            </w:r>
          </w:p>
        </w:tc>
      </w:tr>
    </w:tbl>
    <w:p w:rsidR="001D7112" w:rsidRPr="00E50EF7" w:rsidRDefault="001D7112" w:rsidP="001D7112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1D7112" w:rsidRDefault="001D7112" w:rsidP="001D7112">
      <w:pPr>
        <w:spacing w:after="0"/>
        <w:rPr>
          <w:rFonts w:ascii="Arial" w:hAnsi="Arial" w:cs="Arial"/>
          <w:sz w:val="20"/>
          <w:szCs w:val="20"/>
        </w:rPr>
      </w:pPr>
    </w:p>
    <w:p w:rsidR="001D7112" w:rsidRPr="004649A7" w:rsidRDefault="001D7112" w:rsidP="001D7112">
      <w:pPr>
        <w:rPr>
          <w:rFonts w:ascii="Arial" w:hAnsi="Arial" w:cs="Arial"/>
          <w:sz w:val="20"/>
          <w:szCs w:val="20"/>
        </w:rPr>
      </w:pPr>
    </w:p>
    <w:p w:rsidR="00B67485" w:rsidRPr="00877D92" w:rsidRDefault="00B67485" w:rsidP="00B67485">
      <w:pPr>
        <w:spacing w:after="0"/>
        <w:rPr>
          <w:rFonts w:ascii="Arial" w:hAnsi="Arial" w:cs="Arial"/>
          <w:sz w:val="20"/>
          <w:szCs w:val="20"/>
        </w:rPr>
      </w:pPr>
    </w:p>
    <w:sectPr w:rsidR="00B67485" w:rsidRPr="00877D92" w:rsidSect="00F578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87" w:rsidRDefault="00911D87" w:rsidP="00537E41">
      <w:pPr>
        <w:spacing w:after="0" w:line="240" w:lineRule="auto"/>
      </w:pPr>
      <w:r>
        <w:separator/>
      </w:r>
    </w:p>
  </w:endnote>
  <w:endnote w:type="continuationSeparator" w:id="0">
    <w:p w:rsidR="00911D87" w:rsidRDefault="00911D87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09" w:rsidRDefault="00290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F7280D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F7280D">
      <w:rPr>
        <w:rFonts w:ascii="Arial" w:hAnsi="Arial" w:cs="Arial"/>
        <w:bCs/>
        <w:sz w:val="16"/>
        <w:szCs w:val="16"/>
      </w:rPr>
      <w:t>L.B.F</w:t>
    </w:r>
    <w:r w:rsidR="00F62E2F" w:rsidRPr="00F7280D">
      <w:rPr>
        <w:rFonts w:ascii="Arial" w:hAnsi="Arial" w:cs="Arial"/>
        <w:bCs/>
        <w:sz w:val="16"/>
        <w:szCs w:val="16"/>
      </w:rPr>
      <w:t>.</w:t>
    </w:r>
    <w:r w:rsidR="00D3692A" w:rsidRPr="00F7280D">
      <w:rPr>
        <w:rFonts w:ascii="Arial" w:hAnsi="Arial" w:cs="Arial"/>
        <w:bCs/>
        <w:sz w:val="16"/>
        <w:szCs w:val="16"/>
      </w:rPr>
      <w:t xml:space="preserve"> </w:t>
    </w:r>
    <w:r w:rsidR="00C50C4C">
      <w:rPr>
        <w:rFonts w:ascii="Arial" w:hAnsi="Arial" w:cs="Arial"/>
        <w:bCs/>
        <w:sz w:val="16"/>
        <w:szCs w:val="16"/>
      </w:rPr>
      <w:t>3022-1.2</w:t>
    </w:r>
    <w:r w:rsidR="00995AEE" w:rsidRPr="00F7280D">
      <w:rPr>
        <w:rFonts w:ascii="Arial" w:hAnsi="Arial" w:cs="Arial"/>
        <w:bCs/>
        <w:sz w:val="16"/>
        <w:szCs w:val="16"/>
      </w:rPr>
      <w:t xml:space="preserve"> (12/17)</w:t>
    </w:r>
    <w:r w:rsidRPr="00F7280D">
      <w:rPr>
        <w:rFonts w:ascii="Arial" w:hAnsi="Arial" w:cs="Arial"/>
        <w:bCs/>
        <w:sz w:val="16"/>
        <w:szCs w:val="16"/>
      </w:rPr>
      <w:tab/>
    </w:r>
    <w:r w:rsidRPr="00F7280D">
      <w:rPr>
        <w:rFonts w:ascii="Arial" w:hAnsi="Arial" w:cs="Arial"/>
        <w:bCs/>
        <w:sz w:val="16"/>
        <w:szCs w:val="16"/>
      </w:rPr>
      <w:tab/>
    </w:r>
    <w:r w:rsidRPr="00F7280D">
      <w:rPr>
        <w:rFonts w:ascii="Arial" w:hAnsi="Arial" w:cs="Arial"/>
        <w:bCs/>
        <w:sz w:val="16"/>
        <w:szCs w:val="16"/>
      </w:rPr>
      <w:tab/>
      <w:t xml:space="preserve">Page </w:t>
    </w:r>
    <w:r w:rsidRPr="00F7280D">
      <w:rPr>
        <w:rFonts w:ascii="Arial" w:hAnsi="Arial" w:cs="Arial"/>
        <w:bCs/>
        <w:sz w:val="16"/>
        <w:szCs w:val="16"/>
      </w:rPr>
      <w:fldChar w:fldCharType="begin"/>
    </w:r>
    <w:r w:rsidRPr="00F7280D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F7280D">
      <w:rPr>
        <w:rFonts w:ascii="Arial" w:hAnsi="Arial" w:cs="Arial"/>
        <w:bCs/>
        <w:sz w:val="16"/>
        <w:szCs w:val="16"/>
      </w:rPr>
      <w:fldChar w:fldCharType="separate"/>
    </w:r>
    <w:r w:rsidR="00981A13">
      <w:rPr>
        <w:rFonts w:ascii="Arial" w:hAnsi="Arial" w:cs="Arial"/>
        <w:bCs/>
        <w:noProof/>
        <w:sz w:val="16"/>
        <w:szCs w:val="16"/>
      </w:rPr>
      <w:t>4</w:t>
    </w:r>
    <w:r w:rsidRPr="00F7280D">
      <w:rPr>
        <w:rFonts w:ascii="Arial" w:hAnsi="Arial" w:cs="Arial"/>
        <w:sz w:val="16"/>
        <w:szCs w:val="16"/>
      </w:rPr>
      <w:fldChar w:fldCharType="end"/>
    </w:r>
  </w:p>
  <w:p w:rsidR="00537E41" w:rsidRPr="00F7280D" w:rsidRDefault="00537E41" w:rsidP="005B497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09" w:rsidRDefault="00290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87" w:rsidRDefault="00911D87" w:rsidP="00537E41">
      <w:pPr>
        <w:spacing w:after="0" w:line="240" w:lineRule="auto"/>
      </w:pPr>
      <w:r>
        <w:separator/>
      </w:r>
    </w:p>
  </w:footnote>
  <w:footnote w:type="continuationSeparator" w:id="0">
    <w:p w:rsidR="00911D87" w:rsidRDefault="00911D87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09" w:rsidRDefault="00290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09" w:rsidRDefault="00290B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B09" w:rsidRDefault="00290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80A"/>
    <w:multiLevelType w:val="hybridMultilevel"/>
    <w:tmpl w:val="E6EE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54AB"/>
    <w:multiLevelType w:val="hybridMultilevel"/>
    <w:tmpl w:val="A3B6E7B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32C5"/>
    <w:multiLevelType w:val="hybridMultilevel"/>
    <w:tmpl w:val="B0542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927AC"/>
    <w:multiLevelType w:val="hybridMultilevel"/>
    <w:tmpl w:val="79F65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3EE4"/>
    <w:multiLevelType w:val="hybridMultilevel"/>
    <w:tmpl w:val="13727AB4"/>
    <w:lvl w:ilvl="0" w:tplc="196485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2491D"/>
    <w:multiLevelType w:val="hybridMultilevel"/>
    <w:tmpl w:val="4F9A5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7"/>
    <w:rsid w:val="00031F85"/>
    <w:rsid w:val="00061C92"/>
    <w:rsid w:val="000C21CE"/>
    <w:rsid w:val="000D41FF"/>
    <w:rsid w:val="000D4887"/>
    <w:rsid w:val="000E13DB"/>
    <w:rsid w:val="001D7112"/>
    <w:rsid w:val="002473DF"/>
    <w:rsid w:val="00290B09"/>
    <w:rsid w:val="002C3AF5"/>
    <w:rsid w:val="002F6DA7"/>
    <w:rsid w:val="00324A35"/>
    <w:rsid w:val="00325A6E"/>
    <w:rsid w:val="00335618"/>
    <w:rsid w:val="00387071"/>
    <w:rsid w:val="00393356"/>
    <w:rsid w:val="004C7238"/>
    <w:rsid w:val="004D350A"/>
    <w:rsid w:val="004E27A7"/>
    <w:rsid w:val="00537866"/>
    <w:rsid w:val="00537E41"/>
    <w:rsid w:val="005A0BED"/>
    <w:rsid w:val="005B4979"/>
    <w:rsid w:val="006F3899"/>
    <w:rsid w:val="0073132B"/>
    <w:rsid w:val="0073487F"/>
    <w:rsid w:val="0076761D"/>
    <w:rsid w:val="00773E0F"/>
    <w:rsid w:val="007A352C"/>
    <w:rsid w:val="00805F9B"/>
    <w:rsid w:val="00856B92"/>
    <w:rsid w:val="00911D87"/>
    <w:rsid w:val="00932CF7"/>
    <w:rsid w:val="0094170F"/>
    <w:rsid w:val="009446BA"/>
    <w:rsid w:val="00961FE2"/>
    <w:rsid w:val="009653DE"/>
    <w:rsid w:val="00981A13"/>
    <w:rsid w:val="00992894"/>
    <w:rsid w:val="00995AEE"/>
    <w:rsid w:val="009967CD"/>
    <w:rsid w:val="009B5C0B"/>
    <w:rsid w:val="009D2273"/>
    <w:rsid w:val="00AC7491"/>
    <w:rsid w:val="00B67485"/>
    <w:rsid w:val="00B91883"/>
    <w:rsid w:val="00BF158E"/>
    <w:rsid w:val="00C50C4C"/>
    <w:rsid w:val="00CC0EC7"/>
    <w:rsid w:val="00CC4B4A"/>
    <w:rsid w:val="00CD5C37"/>
    <w:rsid w:val="00D3692A"/>
    <w:rsid w:val="00D72AD3"/>
    <w:rsid w:val="00DD73E1"/>
    <w:rsid w:val="00F578BB"/>
    <w:rsid w:val="00F62E2F"/>
    <w:rsid w:val="00F637CE"/>
    <w:rsid w:val="00F7280D"/>
    <w:rsid w:val="00F732AF"/>
    <w:rsid w:val="00F863BC"/>
    <w:rsid w:val="00FC4CBC"/>
    <w:rsid w:val="00FC55B8"/>
    <w:rsid w:val="00F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qFormat/>
    <w:rsid w:val="004D350A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D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tlabel">
    <w:name w:val="Part label"/>
    <w:basedOn w:val="Normal"/>
    <w:qFormat/>
    <w:rsid w:val="00773E0F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FC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14707-3F4B-4533-9576-6B9EA78F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2017-11-30T20:34:00Z</dcterms:created>
  <dcterms:modified xsi:type="dcterms:W3CDTF">2017-11-30T20:35:00Z</dcterms:modified>
</cp:coreProperties>
</file>